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31" w:rsidRDefault="001E1550">
      <w:pPr>
        <w:spacing w:before="56" w:line="254" w:lineRule="auto"/>
        <w:ind w:left="2963" w:right="735"/>
        <w:jc w:val="center"/>
        <w:rPr>
          <w:rFonts w:ascii="Arial" w:eastAsia="Arial" w:hAnsi="Arial" w:cs="Arial"/>
          <w:sz w:val="32"/>
          <w:szCs w:val="32"/>
        </w:rPr>
      </w:pPr>
      <w:bookmarkStart w:id="0" w:name="_GoBack"/>
      <w:bookmarkEnd w:id="0"/>
      <w:r>
        <w:pict>
          <v:group id="_x0000_s1046" style="position:absolute;left:0;text-align:left;margin-left:60.35pt;margin-top:4.35pt;width:467.3pt;height:85.9pt;z-index:-251660800;mso-position-horizontal-relative:page" coordorigin="1207,87" coordsize="9346,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3435;top:1161;width:7118;height:77">
              <v:imagedata r:id="rId5" o:title=""/>
            </v:shape>
            <v:shape id="_x0000_s1047" type="#_x0000_t75" style="position:absolute;left:1207;top:87;width:2166;height:1718">
              <v:imagedata r:id="rId6" o:title=""/>
            </v:shape>
            <w10:wrap anchorx="page"/>
          </v:group>
        </w:pict>
      </w:r>
      <w:r>
        <w:rPr>
          <w:rFonts w:ascii="Arial" w:eastAsia="Arial" w:hAnsi="Arial" w:cs="Arial"/>
          <w:b/>
          <w:bCs/>
          <w:sz w:val="32"/>
          <w:szCs w:val="32"/>
        </w:rPr>
        <w:t>U.S.</w:t>
      </w:r>
      <w:r>
        <w:rPr>
          <w:rFonts w:ascii="Arial" w:eastAsia="Arial" w:hAnsi="Arial" w:cs="Arial"/>
          <w:b/>
          <w:bCs/>
          <w:spacing w:val="19"/>
          <w:sz w:val="32"/>
          <w:szCs w:val="32"/>
        </w:rPr>
        <w:t xml:space="preserve"> </w:t>
      </w:r>
      <w:r>
        <w:rPr>
          <w:rFonts w:ascii="Arial" w:eastAsia="Arial" w:hAnsi="Arial" w:cs="Arial"/>
          <w:b/>
          <w:bCs/>
          <w:sz w:val="32"/>
          <w:szCs w:val="32"/>
        </w:rPr>
        <w:t>Environmental</w:t>
      </w:r>
      <w:r>
        <w:rPr>
          <w:rFonts w:ascii="Arial" w:eastAsia="Arial" w:hAnsi="Arial" w:cs="Arial"/>
          <w:b/>
          <w:bCs/>
          <w:spacing w:val="20"/>
          <w:sz w:val="32"/>
          <w:szCs w:val="32"/>
        </w:rPr>
        <w:t xml:space="preserve"> </w:t>
      </w:r>
      <w:r>
        <w:rPr>
          <w:rFonts w:ascii="Arial" w:eastAsia="Arial" w:hAnsi="Arial" w:cs="Arial"/>
          <w:b/>
          <w:bCs/>
          <w:sz w:val="32"/>
          <w:szCs w:val="32"/>
        </w:rPr>
        <w:t>Protection</w:t>
      </w:r>
      <w:r>
        <w:rPr>
          <w:rFonts w:ascii="Arial" w:eastAsia="Arial" w:hAnsi="Arial" w:cs="Arial"/>
          <w:b/>
          <w:bCs/>
          <w:spacing w:val="19"/>
          <w:sz w:val="32"/>
          <w:szCs w:val="32"/>
        </w:rPr>
        <w:t xml:space="preserve"> </w:t>
      </w:r>
      <w:r>
        <w:rPr>
          <w:rFonts w:ascii="Arial" w:eastAsia="Arial" w:hAnsi="Arial" w:cs="Arial"/>
          <w:b/>
          <w:bCs/>
          <w:sz w:val="32"/>
          <w:szCs w:val="32"/>
        </w:rPr>
        <w:t>Agency</w:t>
      </w:r>
      <w:r>
        <w:rPr>
          <w:rFonts w:ascii="Arial" w:eastAsia="Arial" w:hAnsi="Arial" w:cs="Arial"/>
          <w:b/>
          <w:bCs/>
          <w:w w:val="101"/>
          <w:sz w:val="32"/>
          <w:szCs w:val="32"/>
        </w:rPr>
        <w:t xml:space="preserve"> </w:t>
      </w:r>
      <w:r>
        <w:rPr>
          <w:rFonts w:ascii="Arial" w:eastAsia="Arial" w:hAnsi="Arial" w:cs="Arial"/>
          <w:b/>
          <w:bCs/>
          <w:sz w:val="32"/>
          <w:szCs w:val="32"/>
        </w:rPr>
        <w:t>Applicability</w:t>
      </w:r>
      <w:r>
        <w:rPr>
          <w:rFonts w:ascii="Arial" w:eastAsia="Arial" w:hAnsi="Arial" w:cs="Arial"/>
          <w:b/>
          <w:bCs/>
          <w:spacing w:val="25"/>
          <w:sz w:val="32"/>
          <w:szCs w:val="32"/>
        </w:rPr>
        <w:t xml:space="preserve"> </w:t>
      </w:r>
      <w:r>
        <w:rPr>
          <w:rFonts w:ascii="Arial" w:eastAsia="Arial" w:hAnsi="Arial" w:cs="Arial"/>
          <w:b/>
          <w:bCs/>
          <w:sz w:val="32"/>
          <w:szCs w:val="32"/>
        </w:rPr>
        <w:t>Determination</w:t>
      </w:r>
      <w:r>
        <w:rPr>
          <w:rFonts w:ascii="Arial" w:eastAsia="Arial" w:hAnsi="Arial" w:cs="Arial"/>
          <w:b/>
          <w:bCs/>
          <w:spacing w:val="25"/>
          <w:sz w:val="32"/>
          <w:szCs w:val="32"/>
        </w:rPr>
        <w:t xml:space="preserve"> </w:t>
      </w:r>
      <w:r>
        <w:rPr>
          <w:rFonts w:ascii="Arial" w:eastAsia="Arial" w:hAnsi="Arial" w:cs="Arial"/>
          <w:b/>
          <w:bCs/>
          <w:sz w:val="32"/>
          <w:szCs w:val="32"/>
        </w:rPr>
        <w:t>Index</w:t>
      </w:r>
    </w:p>
    <w:p w:rsidR="00D01F31" w:rsidRDefault="00D01F31">
      <w:pPr>
        <w:spacing w:line="200" w:lineRule="exact"/>
        <w:rPr>
          <w:sz w:val="20"/>
          <w:szCs w:val="20"/>
        </w:rPr>
      </w:pPr>
    </w:p>
    <w:p w:rsidR="00D01F31" w:rsidRDefault="00D01F31">
      <w:pPr>
        <w:spacing w:line="200" w:lineRule="exact"/>
        <w:rPr>
          <w:sz w:val="20"/>
          <w:szCs w:val="20"/>
        </w:rPr>
      </w:pPr>
    </w:p>
    <w:p w:rsidR="00D01F31" w:rsidRDefault="00D01F31">
      <w:pPr>
        <w:spacing w:line="200" w:lineRule="exact"/>
        <w:rPr>
          <w:sz w:val="20"/>
          <w:szCs w:val="20"/>
        </w:rPr>
      </w:pPr>
    </w:p>
    <w:p w:rsidR="00D01F31" w:rsidRDefault="00D01F31">
      <w:pPr>
        <w:spacing w:before="17" w:line="280" w:lineRule="exact"/>
        <w:rPr>
          <w:sz w:val="28"/>
          <w:szCs w:val="28"/>
        </w:rPr>
      </w:pPr>
    </w:p>
    <w:p w:rsidR="00D01F31" w:rsidRDefault="001E1550">
      <w:pPr>
        <w:ind w:left="2150"/>
        <w:jc w:val="center"/>
        <w:rPr>
          <w:rFonts w:ascii="Arial" w:eastAsia="Arial" w:hAnsi="Arial" w:cs="Arial"/>
          <w:sz w:val="28"/>
          <w:szCs w:val="28"/>
        </w:rPr>
      </w:pPr>
      <w:r>
        <w:rPr>
          <w:rFonts w:ascii="Arial" w:eastAsia="Arial" w:hAnsi="Arial" w:cs="Arial"/>
          <w:b/>
          <w:bCs/>
          <w:sz w:val="28"/>
          <w:szCs w:val="28"/>
        </w:rPr>
        <w:t>Control</w:t>
      </w:r>
      <w:r>
        <w:rPr>
          <w:rFonts w:ascii="Arial" w:eastAsia="Arial" w:hAnsi="Arial" w:cs="Arial"/>
          <w:b/>
          <w:bCs/>
          <w:spacing w:val="-15"/>
          <w:sz w:val="28"/>
          <w:szCs w:val="28"/>
        </w:rPr>
        <w:t xml:space="preserve"> </w:t>
      </w:r>
      <w:r>
        <w:rPr>
          <w:rFonts w:ascii="Arial" w:eastAsia="Arial" w:hAnsi="Arial" w:cs="Arial"/>
          <w:b/>
          <w:bCs/>
          <w:sz w:val="28"/>
          <w:szCs w:val="28"/>
        </w:rPr>
        <w:t>Number:</w:t>
      </w:r>
      <w:r>
        <w:rPr>
          <w:rFonts w:ascii="Arial" w:eastAsia="Arial" w:hAnsi="Arial" w:cs="Arial"/>
          <w:b/>
          <w:bCs/>
          <w:spacing w:val="-14"/>
          <w:sz w:val="28"/>
          <w:szCs w:val="28"/>
        </w:rPr>
        <w:t xml:space="preserve"> </w:t>
      </w:r>
      <w:r>
        <w:rPr>
          <w:rFonts w:ascii="Arial" w:eastAsia="Arial" w:hAnsi="Arial" w:cs="Arial"/>
          <w:b/>
          <w:bCs/>
          <w:sz w:val="28"/>
          <w:szCs w:val="28"/>
        </w:rPr>
        <w:t>C76</w:t>
      </w:r>
    </w:p>
    <w:p w:rsidR="00D01F31" w:rsidRDefault="00D01F31">
      <w:pPr>
        <w:spacing w:line="200" w:lineRule="exact"/>
        <w:rPr>
          <w:sz w:val="20"/>
          <w:szCs w:val="20"/>
        </w:rPr>
      </w:pPr>
    </w:p>
    <w:p w:rsidR="00D01F31" w:rsidRDefault="00D01F31">
      <w:pPr>
        <w:spacing w:before="6" w:line="260" w:lineRule="exact"/>
        <w:rPr>
          <w:sz w:val="26"/>
          <w:szCs w:val="26"/>
        </w:rPr>
      </w:pPr>
    </w:p>
    <w:p w:rsidR="00D01F31" w:rsidRDefault="001E1550">
      <w:pPr>
        <w:tabs>
          <w:tab w:val="left" w:pos="1730"/>
        </w:tabs>
        <w:spacing w:line="297" w:lineRule="auto"/>
        <w:ind w:left="146" w:right="6748"/>
        <w:rPr>
          <w:rFonts w:ascii="Arial" w:eastAsia="Arial" w:hAnsi="Arial" w:cs="Arial"/>
          <w:sz w:val="23"/>
          <w:szCs w:val="23"/>
        </w:rPr>
      </w:pPr>
      <w:r>
        <w:rPr>
          <w:rFonts w:ascii="Arial" w:eastAsia="Arial" w:hAnsi="Arial" w:cs="Arial"/>
          <w:b/>
          <w:bCs/>
          <w:position w:val="1"/>
          <w:sz w:val="23"/>
          <w:szCs w:val="23"/>
        </w:rPr>
        <w:t>Category:</w:t>
      </w:r>
      <w:r>
        <w:rPr>
          <w:rFonts w:ascii="Arial" w:eastAsia="Arial" w:hAnsi="Arial" w:cs="Arial"/>
          <w:b/>
          <w:bCs/>
          <w:position w:val="1"/>
          <w:sz w:val="23"/>
          <w:szCs w:val="23"/>
        </w:rPr>
        <w:tab/>
      </w:r>
      <w:r>
        <w:rPr>
          <w:rFonts w:ascii="Arial" w:eastAsia="Arial" w:hAnsi="Arial" w:cs="Arial"/>
          <w:sz w:val="23"/>
          <w:szCs w:val="23"/>
        </w:rPr>
        <w:t xml:space="preserve">Asbestos </w:t>
      </w:r>
      <w:r>
        <w:rPr>
          <w:rFonts w:ascii="Arial" w:eastAsia="Arial" w:hAnsi="Arial" w:cs="Arial"/>
          <w:b/>
          <w:bCs/>
          <w:position w:val="1"/>
          <w:sz w:val="23"/>
          <w:szCs w:val="23"/>
        </w:rPr>
        <w:t>EPA Office:</w:t>
      </w:r>
      <w:r>
        <w:rPr>
          <w:rFonts w:ascii="Arial" w:eastAsia="Arial" w:hAnsi="Arial" w:cs="Arial"/>
          <w:b/>
          <w:bCs/>
          <w:position w:val="1"/>
          <w:sz w:val="23"/>
          <w:szCs w:val="23"/>
        </w:rPr>
        <w:tab/>
      </w:r>
      <w:r>
        <w:rPr>
          <w:rFonts w:ascii="Arial" w:eastAsia="Arial" w:hAnsi="Arial" w:cs="Arial"/>
          <w:sz w:val="23"/>
          <w:szCs w:val="23"/>
        </w:rPr>
        <w:t xml:space="preserve">SSCD </w:t>
      </w:r>
      <w:r>
        <w:rPr>
          <w:rFonts w:ascii="Arial" w:eastAsia="Arial" w:hAnsi="Arial" w:cs="Arial"/>
          <w:b/>
          <w:bCs/>
          <w:position w:val="1"/>
          <w:sz w:val="23"/>
          <w:szCs w:val="23"/>
        </w:rPr>
        <w:t>Date:</w:t>
      </w:r>
      <w:r>
        <w:rPr>
          <w:rFonts w:ascii="Arial" w:eastAsia="Arial" w:hAnsi="Arial" w:cs="Arial"/>
          <w:b/>
          <w:bCs/>
          <w:position w:val="1"/>
          <w:sz w:val="23"/>
          <w:szCs w:val="23"/>
        </w:rPr>
        <w:tab/>
      </w:r>
      <w:r>
        <w:rPr>
          <w:rFonts w:ascii="Arial" w:eastAsia="Arial" w:hAnsi="Arial" w:cs="Arial"/>
          <w:sz w:val="23"/>
          <w:szCs w:val="23"/>
        </w:rPr>
        <w:t>09/21/1990</w:t>
      </w:r>
    </w:p>
    <w:p w:rsidR="00D01F31" w:rsidRDefault="001E1550">
      <w:pPr>
        <w:tabs>
          <w:tab w:val="left" w:pos="1730"/>
        </w:tabs>
        <w:spacing w:before="2" w:line="297" w:lineRule="auto"/>
        <w:ind w:left="146" w:right="5962"/>
        <w:rPr>
          <w:rFonts w:ascii="Arial" w:eastAsia="Arial" w:hAnsi="Arial" w:cs="Arial"/>
          <w:sz w:val="23"/>
          <w:szCs w:val="23"/>
        </w:rPr>
      </w:pPr>
      <w:r>
        <w:pict>
          <v:group id="_x0000_s1041" style="position:absolute;left:0;text-align:left;margin-left:57.65pt;margin-top:59.85pt;width:472.75pt;height:2.3pt;z-index:-251659776;mso-position-horizontal-relative:page" coordorigin="1153,1197" coordsize="9455,46">
            <v:group id="_x0000_s1044" style="position:absolute;left:1161;top:1205;width:9439;height:31" coordorigin="1161,1205" coordsize="9439,31">
              <v:shape id="_x0000_s1045" style="position:absolute;left:1161;top:1205;width:9439;height:31" coordorigin="1161,1205" coordsize="9439,31" path="m10600,1205r-9439,l1161,1236r15,-15l10584,1221r16,-16xe" fillcolor="#7f7f7f" stroked="f">
                <v:path arrowok="t"/>
              </v:shape>
            </v:group>
            <v:group id="_x0000_s1042" style="position:absolute;left:1161;top:1205;width:9439;height:31" coordorigin="1161,1205" coordsize="9439,31">
              <v:shape id="_x0000_s1043" style="position:absolute;left:1161;top:1205;width:9439;height:31" coordorigin="1161,1205" coordsize="9439,31" path="m10600,1205r-16,16l1176,1221r-15,15l10600,1236r,-31xe" fillcolor="#dfdfdf" stroked="f">
                <v:path arrowok="t"/>
              </v:shape>
            </v:group>
            <w10:wrap anchorx="page"/>
          </v:group>
        </w:pict>
      </w:r>
      <w:r>
        <w:rPr>
          <w:rFonts w:ascii="Arial" w:eastAsia="Arial" w:hAnsi="Arial" w:cs="Arial"/>
          <w:b/>
          <w:bCs/>
          <w:position w:val="1"/>
          <w:sz w:val="23"/>
          <w:szCs w:val="23"/>
        </w:rPr>
        <w:t>Title:</w:t>
      </w:r>
      <w:r>
        <w:rPr>
          <w:rFonts w:ascii="Arial" w:eastAsia="Arial" w:hAnsi="Arial" w:cs="Arial"/>
          <w:b/>
          <w:bCs/>
          <w:position w:val="1"/>
          <w:sz w:val="23"/>
          <w:szCs w:val="23"/>
        </w:rPr>
        <w:tab/>
      </w:r>
      <w:r>
        <w:rPr>
          <w:rFonts w:ascii="Arial" w:eastAsia="Arial" w:hAnsi="Arial" w:cs="Arial"/>
          <w:sz w:val="23"/>
          <w:szCs w:val="23"/>
        </w:rPr>
        <w:t xml:space="preserve">Shot Blasting </w:t>
      </w:r>
      <w:r>
        <w:rPr>
          <w:rFonts w:ascii="Arial" w:eastAsia="Arial" w:hAnsi="Arial" w:cs="Arial"/>
          <w:b/>
          <w:bCs/>
          <w:position w:val="1"/>
          <w:sz w:val="23"/>
          <w:szCs w:val="23"/>
        </w:rPr>
        <w:t>Recipient:</w:t>
      </w:r>
      <w:r>
        <w:rPr>
          <w:rFonts w:ascii="Arial" w:eastAsia="Arial" w:hAnsi="Arial" w:cs="Arial"/>
          <w:b/>
          <w:bCs/>
          <w:position w:val="1"/>
          <w:sz w:val="23"/>
          <w:szCs w:val="23"/>
        </w:rPr>
        <w:tab/>
      </w:r>
      <w:proofErr w:type="spellStart"/>
      <w:r>
        <w:rPr>
          <w:rFonts w:ascii="Arial" w:eastAsia="Arial" w:hAnsi="Arial" w:cs="Arial"/>
          <w:sz w:val="23"/>
          <w:szCs w:val="23"/>
        </w:rPr>
        <w:t>Spratlin</w:t>
      </w:r>
      <w:proofErr w:type="spellEnd"/>
      <w:r>
        <w:rPr>
          <w:rFonts w:ascii="Arial" w:eastAsia="Arial" w:hAnsi="Arial" w:cs="Arial"/>
          <w:sz w:val="23"/>
          <w:szCs w:val="23"/>
        </w:rPr>
        <w:t xml:space="preserve">, William A. </w:t>
      </w:r>
      <w:r>
        <w:rPr>
          <w:rFonts w:ascii="Arial" w:eastAsia="Arial" w:hAnsi="Arial" w:cs="Arial"/>
          <w:b/>
          <w:bCs/>
          <w:position w:val="1"/>
          <w:sz w:val="23"/>
          <w:szCs w:val="23"/>
        </w:rPr>
        <w:t>Author:</w:t>
      </w:r>
      <w:r>
        <w:rPr>
          <w:rFonts w:ascii="Arial" w:eastAsia="Arial" w:hAnsi="Arial" w:cs="Arial"/>
          <w:b/>
          <w:bCs/>
          <w:position w:val="1"/>
          <w:sz w:val="23"/>
          <w:szCs w:val="23"/>
        </w:rPr>
        <w:tab/>
      </w:r>
      <w:proofErr w:type="spellStart"/>
      <w:r>
        <w:rPr>
          <w:rFonts w:ascii="Arial" w:eastAsia="Arial" w:hAnsi="Arial" w:cs="Arial"/>
          <w:sz w:val="23"/>
          <w:szCs w:val="23"/>
        </w:rPr>
        <w:t>Rasnic</w:t>
      </w:r>
      <w:proofErr w:type="spellEnd"/>
      <w:r>
        <w:rPr>
          <w:rFonts w:ascii="Arial" w:eastAsia="Arial" w:hAnsi="Arial" w:cs="Arial"/>
          <w:sz w:val="23"/>
          <w:szCs w:val="23"/>
        </w:rPr>
        <w:t>, John B.</w:t>
      </w:r>
    </w:p>
    <w:p w:rsidR="00D01F31" w:rsidRDefault="00D01F31">
      <w:pPr>
        <w:spacing w:line="200" w:lineRule="exact"/>
        <w:rPr>
          <w:sz w:val="20"/>
          <w:szCs w:val="20"/>
        </w:rPr>
      </w:pPr>
    </w:p>
    <w:p w:rsidR="00D01F31" w:rsidRDefault="00D01F31">
      <w:pPr>
        <w:spacing w:before="4" w:line="200" w:lineRule="exact"/>
        <w:rPr>
          <w:sz w:val="20"/>
          <w:szCs w:val="20"/>
        </w:rPr>
      </w:pPr>
    </w:p>
    <w:p w:rsidR="00D01F31" w:rsidRDefault="001E1550">
      <w:pPr>
        <w:tabs>
          <w:tab w:val="left" w:pos="1730"/>
        </w:tabs>
        <w:ind w:left="146"/>
        <w:rPr>
          <w:rFonts w:ascii="Arial" w:eastAsia="Arial" w:hAnsi="Arial" w:cs="Arial"/>
          <w:sz w:val="23"/>
          <w:szCs w:val="23"/>
        </w:rPr>
      </w:pPr>
      <w:r>
        <w:rPr>
          <w:rFonts w:ascii="Arial" w:eastAsia="Arial" w:hAnsi="Arial" w:cs="Arial"/>
          <w:b/>
          <w:bCs/>
          <w:position w:val="1"/>
          <w:sz w:val="23"/>
          <w:szCs w:val="23"/>
        </w:rPr>
        <w:t>Subparts:</w:t>
      </w:r>
      <w:r>
        <w:rPr>
          <w:rFonts w:ascii="Arial" w:eastAsia="Arial" w:hAnsi="Arial" w:cs="Arial"/>
          <w:b/>
          <w:bCs/>
          <w:position w:val="1"/>
          <w:sz w:val="23"/>
          <w:szCs w:val="23"/>
        </w:rPr>
        <w:tab/>
      </w:r>
      <w:r>
        <w:rPr>
          <w:rFonts w:ascii="Arial" w:eastAsia="Arial" w:hAnsi="Arial" w:cs="Arial"/>
          <w:sz w:val="23"/>
          <w:szCs w:val="23"/>
        </w:rPr>
        <w:t>Part 61,</w:t>
      </w:r>
      <w:r>
        <w:rPr>
          <w:rFonts w:ascii="Arial" w:eastAsia="Arial" w:hAnsi="Arial" w:cs="Arial"/>
          <w:sz w:val="23"/>
          <w:szCs w:val="23"/>
        </w:rPr>
        <w:t xml:space="preserve"> M, Asbestos</w:t>
      </w:r>
    </w:p>
    <w:p w:rsidR="00D01F31" w:rsidRDefault="00D01F31">
      <w:pPr>
        <w:spacing w:line="200" w:lineRule="exact"/>
        <w:rPr>
          <w:sz w:val="20"/>
          <w:szCs w:val="20"/>
        </w:rPr>
      </w:pPr>
    </w:p>
    <w:p w:rsidR="00D01F31" w:rsidRDefault="00D01F31">
      <w:pPr>
        <w:spacing w:before="8" w:line="260" w:lineRule="exact"/>
        <w:rPr>
          <w:sz w:val="26"/>
          <w:szCs w:val="26"/>
        </w:rPr>
      </w:pPr>
    </w:p>
    <w:p w:rsidR="00D01F31" w:rsidRDefault="001E1550">
      <w:pPr>
        <w:tabs>
          <w:tab w:val="left" w:pos="1730"/>
        </w:tabs>
        <w:ind w:left="146"/>
        <w:rPr>
          <w:rFonts w:ascii="Arial" w:eastAsia="Arial" w:hAnsi="Arial" w:cs="Arial"/>
          <w:sz w:val="23"/>
          <w:szCs w:val="23"/>
        </w:rPr>
      </w:pPr>
      <w:r>
        <w:pict>
          <v:group id="_x0000_s1036" style="position:absolute;left:0;text-align:left;margin-left:57.65pt;margin-top:-11.4pt;width:472.75pt;height:2.3pt;z-index:-251658752;mso-position-horizontal-relative:page" coordorigin="1153,-228" coordsize="9455,46">
            <v:group id="_x0000_s1039" style="position:absolute;left:1161;top:-220;width:9439;height:31" coordorigin="1161,-220" coordsize="9439,31">
              <v:shape id="_x0000_s1040" style="position:absolute;left:1161;top:-220;width:9439;height:31" coordorigin="1161,-220" coordsize="9439,31" path="m10600,-220r-9439,l1161,-190r15,-15l10584,-205r16,-15xe" fillcolor="#7f7f7f" stroked="f">
                <v:path arrowok="t"/>
              </v:shape>
            </v:group>
            <v:group id="_x0000_s1037" style="position:absolute;left:1161;top:-220;width:9439;height:31" coordorigin="1161,-220" coordsize="9439,31">
              <v:shape id="_x0000_s1038" style="position:absolute;left:1161;top:-220;width:9439;height:31" coordorigin="1161,-220" coordsize="9439,31" path="m10600,-220r-16,15l1176,-205r-15,15l10600,-190r,-30xe" fillcolor="#dfdfdf" stroked="f">
                <v:path arrowok="t"/>
              </v:shape>
            </v:group>
            <w10:wrap anchorx="page"/>
          </v:group>
        </w:pict>
      </w:r>
      <w:r>
        <w:rPr>
          <w:rFonts w:ascii="Arial" w:eastAsia="Arial" w:hAnsi="Arial" w:cs="Arial"/>
          <w:b/>
          <w:bCs/>
          <w:position w:val="1"/>
          <w:sz w:val="23"/>
          <w:szCs w:val="23"/>
        </w:rPr>
        <w:t>References:</w:t>
      </w:r>
      <w:r>
        <w:rPr>
          <w:rFonts w:ascii="Arial" w:eastAsia="Arial" w:hAnsi="Arial" w:cs="Arial"/>
          <w:b/>
          <w:bCs/>
          <w:position w:val="1"/>
          <w:sz w:val="23"/>
          <w:szCs w:val="23"/>
        </w:rPr>
        <w:tab/>
      </w:r>
      <w:r>
        <w:rPr>
          <w:rFonts w:ascii="Arial" w:eastAsia="Arial" w:hAnsi="Arial" w:cs="Arial"/>
          <w:sz w:val="23"/>
          <w:szCs w:val="23"/>
        </w:rPr>
        <w:t>61.141</w:t>
      </w:r>
    </w:p>
    <w:p w:rsidR="00D01F31" w:rsidRDefault="001E1550">
      <w:pPr>
        <w:pStyle w:val="BodyText"/>
        <w:spacing w:before="76"/>
        <w:ind w:left="1730" w:right="196"/>
      </w:pPr>
      <w:r>
        <w:t>61.145(c)</w:t>
      </w:r>
    </w:p>
    <w:p w:rsidR="00D01F31" w:rsidRDefault="001E1550">
      <w:pPr>
        <w:pStyle w:val="BodyText"/>
        <w:spacing w:before="76"/>
        <w:ind w:left="1730" w:right="196"/>
      </w:pPr>
      <w:r>
        <w:t>61.150</w:t>
      </w:r>
    </w:p>
    <w:p w:rsidR="00D01F31" w:rsidRDefault="00D01F31">
      <w:pPr>
        <w:spacing w:line="200" w:lineRule="exact"/>
        <w:rPr>
          <w:sz w:val="20"/>
          <w:szCs w:val="20"/>
        </w:rPr>
      </w:pPr>
    </w:p>
    <w:p w:rsidR="00D01F31" w:rsidRDefault="00D01F31">
      <w:pPr>
        <w:spacing w:before="6" w:line="220" w:lineRule="exact"/>
      </w:pPr>
    </w:p>
    <w:p w:rsidR="00D01F31" w:rsidRDefault="001E1550">
      <w:pPr>
        <w:pStyle w:val="Heading1"/>
        <w:rPr>
          <w:b w:val="0"/>
          <w:bCs w:val="0"/>
        </w:rPr>
      </w:pPr>
      <w:r>
        <w:pict>
          <v:group id="_x0000_s1031" style="position:absolute;left:0;text-align:left;margin-left:57.65pt;margin-top:-9.3pt;width:472.75pt;height:2.3pt;z-index:-251657728;mso-position-horizontal-relative:page" coordorigin="1153,-186" coordsize="9455,46">
            <v:group id="_x0000_s1034" style="position:absolute;left:1161;top:-178;width:9439;height:31" coordorigin="1161,-178" coordsize="9439,31">
              <v:shape id="_x0000_s1035" style="position:absolute;left:1161;top:-178;width:9439;height:31" coordorigin="1161,-178" coordsize="9439,31" path="m10600,-178r-9439,l1161,-147r15,-15l10584,-162r16,-16xe" fillcolor="#7f7f7f" stroked="f">
                <v:path arrowok="t"/>
              </v:shape>
            </v:group>
            <v:group id="_x0000_s1032" style="position:absolute;left:1161;top:-178;width:9439;height:31" coordorigin="1161,-178" coordsize="9439,31">
              <v:shape id="_x0000_s1033" style="position:absolute;left:1161;top:-178;width:9439;height:31" coordorigin="1161,-178" coordsize="9439,31" path="m10600,-178r-16,16l1176,-162r-15,15l10600,-147r,-31xe" fillcolor="#dfdfdf" stroked="f">
                <v:path arrowok="t"/>
              </v:shape>
            </v:group>
            <w10:wrap anchorx="page"/>
          </v:group>
        </w:pict>
      </w:r>
      <w:r>
        <w:t>Abstract:</w:t>
      </w:r>
    </w:p>
    <w:p w:rsidR="00D01F31" w:rsidRDefault="00D01F31">
      <w:pPr>
        <w:spacing w:line="200" w:lineRule="exact"/>
        <w:rPr>
          <w:sz w:val="20"/>
          <w:szCs w:val="20"/>
        </w:rPr>
      </w:pPr>
    </w:p>
    <w:p w:rsidR="00D01F31" w:rsidRDefault="00D01F31">
      <w:pPr>
        <w:spacing w:before="3" w:line="220" w:lineRule="exact"/>
      </w:pPr>
    </w:p>
    <w:p w:rsidR="00D01F31" w:rsidRDefault="001E1550">
      <w:pPr>
        <w:pStyle w:val="BodyText"/>
        <w:spacing w:line="252" w:lineRule="auto"/>
        <w:ind w:right="169"/>
      </w:pPr>
      <w:proofErr w:type="spellStart"/>
      <w:r>
        <w:t>Nonfriable</w:t>
      </w:r>
      <w:proofErr w:type="spellEnd"/>
      <w:r>
        <w:t xml:space="preserve"> material (including floor tile mastic) which is removed using abrasive forces such as grinding, sanding or other abrasive </w:t>
      </w:r>
      <w:proofErr w:type="gramStart"/>
      <w:r>
        <w:t>methods,</w:t>
      </w:r>
      <w:proofErr w:type="gramEnd"/>
      <w:r>
        <w:t xml:space="preserve"> is subject to the asbestos NESHAP </w:t>
      </w:r>
      <w:r>
        <w:t xml:space="preserve">regulation. The shot-blasting operation would cause </w:t>
      </w:r>
      <w:proofErr w:type="spellStart"/>
      <w:r>
        <w:t>nonfriable</w:t>
      </w:r>
      <w:proofErr w:type="spellEnd"/>
      <w:r>
        <w:t xml:space="preserve"> asbestos material (mastic) to be crumbled, pulverized, or reduced to powder, and therefore, asbestos NESHAP work practices must be followed. This means adequately wetting the </w:t>
      </w:r>
      <w:proofErr w:type="spellStart"/>
      <w:r>
        <w:t>nonfriable</w:t>
      </w:r>
      <w:proofErr w:type="spellEnd"/>
      <w:r>
        <w:t xml:space="preserve"> materia</w:t>
      </w:r>
      <w:r>
        <w:t>l (mastic) before and during the shot-blasting operation, keeping the shot-blasted material adequately wet before collection, and disposing of the waste according to the requirements of the asbestos NESHAP. In addition, because this process does cause asbe</w:t>
      </w:r>
      <w:r>
        <w:t>stos-containing material to be crumbled, pulverized or reduced to powder, shot blasting must be performed under wet conditions.</w:t>
      </w:r>
    </w:p>
    <w:p w:rsidR="00D01F31" w:rsidRDefault="00D01F31">
      <w:pPr>
        <w:spacing w:line="200" w:lineRule="exact"/>
        <w:rPr>
          <w:sz w:val="20"/>
          <w:szCs w:val="20"/>
        </w:rPr>
      </w:pPr>
    </w:p>
    <w:p w:rsidR="00D01F31" w:rsidRDefault="00D01F31">
      <w:pPr>
        <w:spacing w:line="200" w:lineRule="exact"/>
        <w:rPr>
          <w:sz w:val="20"/>
          <w:szCs w:val="20"/>
        </w:rPr>
      </w:pPr>
    </w:p>
    <w:p w:rsidR="00D01F31" w:rsidRDefault="00D01F31">
      <w:pPr>
        <w:spacing w:before="20" w:line="240" w:lineRule="exact"/>
        <w:rPr>
          <w:sz w:val="24"/>
          <w:szCs w:val="24"/>
        </w:rPr>
      </w:pPr>
    </w:p>
    <w:p w:rsidR="00D01F31" w:rsidRDefault="001E1550">
      <w:pPr>
        <w:pStyle w:val="Heading1"/>
        <w:rPr>
          <w:b w:val="0"/>
          <w:bCs w:val="0"/>
        </w:rPr>
      </w:pPr>
      <w:r>
        <w:pict>
          <v:group id="_x0000_s1026" style="position:absolute;left:0;text-align:left;margin-left:57.65pt;margin-top:-9.3pt;width:472.75pt;height:2.3pt;z-index:-251656704;mso-position-horizontal-relative:page" coordorigin="1153,-186" coordsize="9455,46">
            <v:group id="_x0000_s1029" style="position:absolute;left:1161;top:-178;width:9439;height:31" coordorigin="1161,-178" coordsize="9439,31">
              <v:shape id="_x0000_s1030" style="position:absolute;left:1161;top:-178;width:9439;height:31" coordorigin="1161,-178" coordsize="9439,31" path="m10600,-178r-9439,l1161,-147r15,-15l10584,-162r16,-16xe" fillcolor="#7f7f7f" stroked="f">
                <v:path arrowok="t"/>
              </v:shape>
            </v:group>
            <v:group id="_x0000_s1027" style="position:absolute;left:1161;top:-178;width:9439;height:31" coordorigin="1161,-178" coordsize="9439,31">
              <v:shape id="_x0000_s1028" style="position:absolute;left:1161;top:-178;width:9439;height:31" coordorigin="1161,-178" coordsize="9439,31" path="m10600,-178r-16,16l1176,-162r-15,15l10600,-147r,-31xe" fillcolor="#dfdfdf" stroked="f">
                <v:path arrowok="t"/>
              </v:shape>
            </v:group>
            <w10:wrap anchorx="page"/>
          </v:group>
        </w:pict>
      </w:r>
      <w:r>
        <w:t>Letter:</w:t>
      </w:r>
    </w:p>
    <w:p w:rsidR="00D01F31" w:rsidRDefault="00D01F31">
      <w:pPr>
        <w:spacing w:line="200" w:lineRule="exact"/>
        <w:rPr>
          <w:sz w:val="20"/>
          <w:szCs w:val="20"/>
        </w:rPr>
      </w:pPr>
    </w:p>
    <w:p w:rsidR="00D01F31" w:rsidRDefault="00D01F31">
      <w:pPr>
        <w:spacing w:before="3" w:line="220" w:lineRule="exact"/>
      </w:pPr>
    </w:p>
    <w:p w:rsidR="00D01F31" w:rsidRDefault="001E1550">
      <w:pPr>
        <w:pStyle w:val="BodyText"/>
        <w:spacing w:line="252" w:lineRule="auto"/>
        <w:ind w:right="3529"/>
      </w:pPr>
      <w:r>
        <w:lastRenderedPageBreak/>
        <w:t>UNITED STATES Environmental PROTECTION AGENCY WASHINGTON</w:t>
      </w:r>
      <w:proofErr w:type="gramStart"/>
      <w:r>
        <w:t>,D.C.20046</w:t>
      </w:r>
      <w:proofErr w:type="gramEnd"/>
    </w:p>
    <w:p w:rsidR="00D01F31" w:rsidRDefault="00D01F31">
      <w:pPr>
        <w:spacing w:before="14" w:line="280" w:lineRule="exact"/>
        <w:rPr>
          <w:sz w:val="28"/>
          <w:szCs w:val="28"/>
        </w:rPr>
      </w:pPr>
    </w:p>
    <w:p w:rsidR="00D01F31" w:rsidRDefault="001E1550">
      <w:pPr>
        <w:pStyle w:val="BodyText"/>
        <w:spacing w:line="519" w:lineRule="auto"/>
        <w:ind w:right="7799"/>
      </w:pPr>
      <w:r>
        <w:t>Sep 21, 1990 MEMORANDUM</w:t>
      </w:r>
    </w:p>
    <w:p w:rsidR="00D01F31" w:rsidRDefault="001E1550">
      <w:pPr>
        <w:pStyle w:val="BodyText"/>
        <w:spacing w:before="8"/>
      </w:pPr>
      <w:r>
        <w:t>SUBJECT: Applicabi</w:t>
      </w:r>
      <w:r>
        <w:t>lity Determination on the Use of Shot Blasting Machines</w:t>
      </w:r>
    </w:p>
    <w:p w:rsidR="00D01F31" w:rsidRDefault="00D01F31">
      <w:pPr>
        <w:spacing w:before="8" w:line="100" w:lineRule="exact"/>
        <w:rPr>
          <w:sz w:val="10"/>
          <w:szCs w:val="10"/>
        </w:rPr>
      </w:pPr>
    </w:p>
    <w:p w:rsidR="00D01F31" w:rsidRDefault="00D01F31">
      <w:pPr>
        <w:spacing w:line="200" w:lineRule="exact"/>
        <w:rPr>
          <w:sz w:val="20"/>
          <w:szCs w:val="20"/>
        </w:rPr>
      </w:pPr>
    </w:p>
    <w:p w:rsidR="00D01F31" w:rsidRDefault="001E1550">
      <w:pPr>
        <w:pStyle w:val="BodyText"/>
        <w:spacing w:line="252" w:lineRule="auto"/>
        <w:ind w:right="4522"/>
      </w:pPr>
      <w:r>
        <w:t xml:space="preserve">FROM: John B. </w:t>
      </w:r>
      <w:proofErr w:type="spellStart"/>
      <w:r>
        <w:t>Rasnic</w:t>
      </w:r>
      <w:proofErr w:type="spellEnd"/>
      <w:r>
        <w:t>, Acting Director Stationary Source Compliance Division (EN-341) Office of Air Quality Planning and Standards</w:t>
      </w:r>
    </w:p>
    <w:p w:rsidR="00D01F31" w:rsidRDefault="00D01F31">
      <w:pPr>
        <w:spacing w:before="14" w:line="280" w:lineRule="exact"/>
        <w:rPr>
          <w:sz w:val="28"/>
          <w:szCs w:val="28"/>
        </w:rPr>
      </w:pPr>
    </w:p>
    <w:p w:rsidR="00D01F31" w:rsidRDefault="001E1550">
      <w:pPr>
        <w:pStyle w:val="BodyText"/>
        <w:spacing w:line="252" w:lineRule="auto"/>
        <w:ind w:right="6263"/>
      </w:pPr>
      <w:r>
        <w:t xml:space="preserve">TO: William A. </w:t>
      </w:r>
      <w:proofErr w:type="spellStart"/>
      <w:r>
        <w:t>Spratlin</w:t>
      </w:r>
      <w:proofErr w:type="spellEnd"/>
      <w:r>
        <w:t>, Director Air and Toxics Division</w:t>
      </w:r>
    </w:p>
    <w:p w:rsidR="00D01F31" w:rsidRDefault="001E1550">
      <w:pPr>
        <w:pStyle w:val="BodyText"/>
      </w:pPr>
      <w:r>
        <w:t xml:space="preserve">Region </w:t>
      </w:r>
      <w:r>
        <w:t>VII</w:t>
      </w:r>
    </w:p>
    <w:p w:rsidR="00D01F31" w:rsidRDefault="00D01F31">
      <w:pPr>
        <w:spacing w:before="8" w:line="100" w:lineRule="exact"/>
        <w:rPr>
          <w:sz w:val="10"/>
          <w:szCs w:val="10"/>
        </w:rPr>
      </w:pPr>
    </w:p>
    <w:p w:rsidR="00D01F31" w:rsidRDefault="00D01F31">
      <w:pPr>
        <w:spacing w:line="200" w:lineRule="exact"/>
        <w:rPr>
          <w:sz w:val="20"/>
          <w:szCs w:val="20"/>
        </w:rPr>
      </w:pPr>
    </w:p>
    <w:p w:rsidR="00D01F31" w:rsidRDefault="001E1550">
      <w:pPr>
        <w:pStyle w:val="BodyText"/>
        <w:spacing w:line="252" w:lineRule="auto"/>
        <w:ind w:right="186"/>
      </w:pPr>
      <w:r>
        <w:t xml:space="preserve">This is in response to a Region VII request for an applicability determination on the use of shot blasting equipment to remove mastic containing asbestos. Members of your staff and the Missouri Department of Natural Resources (Missouri DNR) recently </w:t>
      </w:r>
      <w:r>
        <w:t>observed a demonstration of this equipment and have provided us with their comments. We have also discussed this asbestos removal technique with Region IV where similar requests have been made to use this process. A recent determination made by Region IV o</w:t>
      </w:r>
      <w:r>
        <w:t>n shot blasting is attached.</w:t>
      </w:r>
    </w:p>
    <w:p w:rsidR="00D01F31" w:rsidRDefault="00D01F31">
      <w:pPr>
        <w:spacing w:before="14" w:line="280" w:lineRule="exact"/>
        <w:rPr>
          <w:sz w:val="28"/>
          <w:szCs w:val="28"/>
        </w:rPr>
      </w:pPr>
    </w:p>
    <w:p w:rsidR="00D01F31" w:rsidRDefault="001E1550">
      <w:pPr>
        <w:pStyle w:val="BodyText"/>
        <w:spacing w:line="252" w:lineRule="auto"/>
        <w:ind w:right="196"/>
      </w:pPr>
      <w:r>
        <w:t xml:space="preserve">The process of shot blasting involves a system which propels small steel shot towards the floor to remove mastic or other adhesive materials. As stated in the Region IV determination, </w:t>
      </w:r>
      <w:proofErr w:type="spellStart"/>
      <w:r>
        <w:t>nonfriable</w:t>
      </w:r>
      <w:proofErr w:type="spellEnd"/>
      <w:r>
        <w:t xml:space="preserve"> material (including floor tile </w:t>
      </w:r>
      <w:r>
        <w:t xml:space="preserve">mastic) which is removed using abrasive forces such as grinding, sanding or other abrasive methods, is subject to the asbestos NESHAP regulation. The shot blasting operation would cause </w:t>
      </w:r>
      <w:proofErr w:type="spellStart"/>
      <w:r>
        <w:t>nonfriable</w:t>
      </w:r>
      <w:proofErr w:type="spellEnd"/>
      <w:r>
        <w:t xml:space="preserve"> asbestos material (mastic) to be crumbled, pulverized, or r</w:t>
      </w:r>
      <w:r>
        <w:t xml:space="preserve">educed to powder, and therefore, asbestos NESHAP work practices must be followed. This means adequately wetting the </w:t>
      </w:r>
      <w:proofErr w:type="spellStart"/>
      <w:r>
        <w:t>nonfriable</w:t>
      </w:r>
      <w:proofErr w:type="spellEnd"/>
      <w:r>
        <w:t xml:space="preserve"> material (mastic) before and during the shot blasting operation, keeping the shot blasted material adequately wet before collecti</w:t>
      </w:r>
      <w:r>
        <w:t>on, and disposing of the waste according to the requirements of the asbestos NESHAP. The regulation does not allow for an alternative to wet methods except under very limited circumstances, which are not met in this situation.</w:t>
      </w:r>
    </w:p>
    <w:p w:rsidR="00D01F31" w:rsidRDefault="00D01F31">
      <w:pPr>
        <w:spacing w:before="14" w:line="280" w:lineRule="exact"/>
        <w:rPr>
          <w:sz w:val="28"/>
          <w:szCs w:val="28"/>
        </w:rPr>
      </w:pPr>
    </w:p>
    <w:p w:rsidR="00D01F31" w:rsidRDefault="001E1550">
      <w:pPr>
        <w:pStyle w:val="BodyText"/>
        <w:spacing w:line="252" w:lineRule="auto"/>
        <w:ind w:right="169"/>
      </w:pPr>
      <w:r>
        <w:t>In their comments, the Misso</w:t>
      </w:r>
      <w:r>
        <w:t>uri DNR noted that the shot blasting equipment used in the Region VII demonstration is not approved by the manufacturer for operation on wet surfaces. However, during the demonstration, the equipment was operated on both wet and dry surfaces. During the we</w:t>
      </w:r>
      <w:r>
        <w:t xml:space="preserve">t process removal, both the Missouri DNR and Region VII staff commented that despite wetting the floor, the waste material was </w:t>
      </w:r>
      <w:r>
        <w:lastRenderedPageBreak/>
        <w:t>dry, and visible emissions resulted from removing the waste material from the equipment. Because this process does cause asbestos</w:t>
      </w:r>
      <w:r>
        <w:t xml:space="preserve">-containing material to be crumbled, pulverized or reduced to powder it must be operated under wet conditions. As stated above, the </w:t>
      </w:r>
      <w:proofErr w:type="spellStart"/>
      <w:r>
        <w:t>nonfriable</w:t>
      </w:r>
      <w:proofErr w:type="spellEnd"/>
      <w:r>
        <w:t xml:space="preserve"> material must be adequately wetted before and during the removal process and remain wetted until collected for di</w:t>
      </w:r>
      <w:r>
        <w:t xml:space="preserve">sposal. Visible emissions which occur during the waste collection procedure are evidence that the material was not adequately wetted and may result in an enforcement action by EPA against the owners or operators involved in the project. This determination </w:t>
      </w:r>
      <w:r>
        <w:t>has been coordinated with EPA's Office of Enforcement, Emission Standards Division, and Region VII.</w:t>
      </w:r>
    </w:p>
    <w:p w:rsidR="00D01F31" w:rsidRDefault="00D01F31">
      <w:pPr>
        <w:spacing w:before="14" w:line="280" w:lineRule="exact"/>
        <w:rPr>
          <w:sz w:val="28"/>
          <w:szCs w:val="28"/>
        </w:rPr>
      </w:pPr>
    </w:p>
    <w:p w:rsidR="00D01F31" w:rsidRDefault="001E1550">
      <w:pPr>
        <w:pStyle w:val="BodyText"/>
        <w:spacing w:line="252" w:lineRule="auto"/>
        <w:ind w:right="586"/>
      </w:pPr>
      <w:r>
        <w:t xml:space="preserve">If you have any further questions, please contact Scott </w:t>
      </w:r>
      <w:proofErr w:type="spellStart"/>
      <w:r>
        <w:t>Throwe</w:t>
      </w:r>
      <w:proofErr w:type="spellEnd"/>
      <w:r>
        <w:t xml:space="preserve"> of my staff at (202) 475­ 7002.</w:t>
      </w:r>
    </w:p>
    <w:p w:rsidR="00D01F31" w:rsidRDefault="00D01F31">
      <w:pPr>
        <w:spacing w:before="14" w:line="280" w:lineRule="exact"/>
        <w:rPr>
          <w:sz w:val="28"/>
          <w:szCs w:val="28"/>
        </w:rPr>
      </w:pPr>
    </w:p>
    <w:p w:rsidR="00D01F31" w:rsidRDefault="001E1550">
      <w:pPr>
        <w:pStyle w:val="BodyText"/>
      </w:pPr>
      <w:r>
        <w:t>Attachment</w:t>
      </w:r>
    </w:p>
    <w:p w:rsidR="00D01F31" w:rsidRDefault="00D01F31">
      <w:pPr>
        <w:spacing w:before="8" w:line="100" w:lineRule="exact"/>
        <w:rPr>
          <w:sz w:val="10"/>
          <w:szCs w:val="10"/>
        </w:rPr>
      </w:pPr>
    </w:p>
    <w:p w:rsidR="00D01F31" w:rsidRDefault="00D01F31">
      <w:pPr>
        <w:spacing w:line="200" w:lineRule="exact"/>
        <w:rPr>
          <w:sz w:val="20"/>
          <w:szCs w:val="20"/>
        </w:rPr>
      </w:pPr>
    </w:p>
    <w:p w:rsidR="00D01F31" w:rsidRDefault="001E1550">
      <w:pPr>
        <w:pStyle w:val="BodyText"/>
        <w:spacing w:line="252" w:lineRule="auto"/>
        <w:ind w:right="6804"/>
      </w:pPr>
      <w:r>
        <w:t xml:space="preserve">cc: Alice Law, Region VII JoAnn </w:t>
      </w:r>
      <w:proofErr w:type="spellStart"/>
      <w:r>
        <w:t>Heiman</w:t>
      </w:r>
      <w:proofErr w:type="spellEnd"/>
      <w:r>
        <w:t>, Region</w:t>
      </w:r>
      <w:r>
        <w:t xml:space="preserve"> VII</w:t>
      </w:r>
    </w:p>
    <w:p w:rsidR="00D01F31" w:rsidRDefault="001E1550">
      <w:pPr>
        <w:pStyle w:val="BodyText"/>
        <w:spacing w:line="252" w:lineRule="auto"/>
        <w:ind w:right="4831"/>
      </w:pPr>
      <w:r>
        <w:t>Asbestos NESHAP Coordinators, Regions I-X Air Compliance Branch Chiefs, Regions I-X</w:t>
      </w:r>
    </w:p>
    <w:sectPr w:rsidR="00D01F31" w:rsidSect="001E1550">
      <w:type w:val="continuous"/>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01F31"/>
    <w:rsid w:val="001E1550"/>
    <w:rsid w:val="00D0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Shot Blasting</dc:title>
  <dc:subject>Applicability Determination Index</dc:subject>
  <dc:creator>EPA/SSCD</dc:creator>
  <cp:keywords>Asbestos</cp:keywords>
  <cp:lastModifiedBy>Kurt</cp:lastModifiedBy>
  <cp:revision>3</cp:revision>
  <cp:lastPrinted>2014-03-17T18:33:00Z</cp:lastPrinted>
  <dcterms:created xsi:type="dcterms:W3CDTF">2014-03-17T14:33:00Z</dcterms:created>
  <dcterms:modified xsi:type="dcterms:W3CDTF">2014-03-17T18:34:00Z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2003-01-29T00:00:00Z</vt:filetime>
  </property>
  <property fmtid="{D5CDD505-2E9C-101B-9397-08002B2CF9AE}" pid="3" name="LastSaved">
    <vt:filetime>2014-03-17T00:00:00Z</vt:filetime>
  </property>
</Properties>
</file>